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Nadere onderbouwing wijziging doelformulering statuten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76275-1-Nadere-onderbouwing-wijziging-doelformulering-statuten-Spaarnelan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Zienswijze geven op concept-voorstel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57619-1-Zienswijze-geven-op-concept-voorstel-Samenwerkingsafspraken-MRA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Wijziging Algemene plaatselijke 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7025-1-Vaststellen-Wijziging-Algemene-plaatselijke-verordening-Haarlem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Beslissing op bezwaar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77493-1-Beslissing-op-bezw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Nieuw Havenkantoor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0818-1-Nieuw-Havenkantoo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Verkeersveiligheidsbeleid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60861-1-Verkeersveiligheids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3959-1-Vaststellen-Mobiliteitsbelei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Vrijgeven uitvoeringskrediet vervangen Schalkwijkerbrug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8360-1-Vrijgeven-uitvoeringskrediet-vervangen-Schalkwijkerbru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Vrijgave krediet herstel fietspad Rijksstraatweg/Schoterweg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choterwe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Getekend raadsstuk Vaststellen Beeldkwaliteitsplan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Getekend-raadsstuk-Vaststellen-Beeldkwaliteitsplan-Schalkwijk-Mid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Vrijgeven uitvoeringskrediet vervangen Schalkwijkerbrug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8360-1-Vrijgeven-uitvoeringskrediet-vervangen-Schalkwijker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Verkeersveiligheidsbeleid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60861-1-Verkeersveiligheids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3959-1-Vaststellen-Mobiliteits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Partiële herziening bestemmingsplan 'De Koepel'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875-1-Partiele-herziening-bestemmingsplan-De-Koepel-naar-aanleiding-van-tussenuitspraak-Raad-van-Sta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01. Participatie Haarlem in Regionale Ontwikkel Maatschappij Metropoolregio Amsterdam en Noord-Holland-Noord (ROM MRA NHN)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NH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Kader Citymarketing Haarlem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2472-1-Kader-Citymarketing-Haarlem-2022-2025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Toeristische Koers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97691-1-Toeristische-Koers-202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Getekend-Raads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750,63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4936-Getekend-Raadsbesl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Raadsstuk -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7593-1-Raadsstuk-Regiovisie-Jeugdhulp-Zuid-Kennemerland-en-IJmo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Intrekken verordening loonkostensubsidie gemeente Haarlem per 1 juli 2021.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3262-1-Intrekken-verordening-loonkostensubsidie-gemeente-Haarlem-per-1-juli-20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Exploitatiebijdragen 2021-2023 voor sportinventaris binnensport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5416-1-Exploitatiebijdragen-2021-2023-voor-sportinventaris-binnensport-accommodatie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Toeristische Koers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97691-1-Toeristische-Koers-2022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98" meta:character-count="2143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